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 Nova" w:cs="Arial Nova" w:hAnsi="Arial Nova" w:eastAsia="Arial Nova"/>
          <w:sz w:val="44"/>
          <w:szCs w:val="44"/>
        </w:rPr>
      </w:pPr>
      <w:r>
        <w:rPr>
          <w:rFonts w:ascii="Arial Nova" w:cs="Arial Nova" w:hAnsi="Arial Nova" w:eastAsia="Arial Nova"/>
          <w:sz w:val="44"/>
          <w:szCs w:val="44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2152015</wp:posOffset>
            </wp:positionH>
            <wp:positionV relativeFrom="line">
              <wp:posOffset>0</wp:posOffset>
            </wp:positionV>
            <wp:extent cx="1463675" cy="1114425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rial Nova" w:cs="Arial Nova" w:hAnsi="Arial Nova" w:eastAsia="Arial Nova"/>
          <w:sz w:val="44"/>
          <w:szCs w:val="44"/>
        </w:rPr>
      </w:pPr>
    </w:p>
    <w:p>
      <w:pPr>
        <w:pStyle w:val="Body"/>
        <w:jc w:val="center"/>
        <w:rPr>
          <w:rFonts w:ascii="Arial Nova" w:cs="Arial Nova" w:hAnsi="Arial Nova" w:eastAsia="Arial Nova"/>
          <w:sz w:val="44"/>
          <w:szCs w:val="44"/>
        </w:rPr>
      </w:pPr>
    </w:p>
    <w:p>
      <w:pPr>
        <w:pStyle w:val="Body"/>
        <w:jc w:val="center"/>
        <w:rPr>
          <w:rFonts w:ascii="Arial Nova" w:cs="Arial Nova" w:hAnsi="Arial Nova" w:eastAsia="Arial Nova"/>
          <w:sz w:val="44"/>
          <w:szCs w:val="44"/>
        </w:rPr>
      </w:pPr>
      <w:r>
        <w:rPr>
          <w:rFonts w:ascii="Arial Nova" w:cs="Arial Nova" w:hAnsi="Arial Nova" w:eastAsia="Arial Nova"/>
          <w:sz w:val="44"/>
          <w:szCs w:val="44"/>
          <w:rtl w:val="0"/>
          <w:lang w:val="en-US"/>
        </w:rPr>
        <w:t>Plantilla de Plan de Continuidad de Negocios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N</w:t>
      </w:r>
      <w:r>
        <w:rPr>
          <w:b w:val="1"/>
          <w:bCs w:val="1"/>
          <w:sz w:val="36"/>
          <w:szCs w:val="36"/>
          <w:rtl w:val="0"/>
          <w:lang w:val="en-US"/>
        </w:rPr>
        <w:t>ombre de la compa</w:t>
      </w:r>
      <w:r>
        <w:rPr>
          <w:b w:val="1"/>
          <w:bCs w:val="1"/>
          <w:sz w:val="36"/>
          <w:szCs w:val="36"/>
          <w:rtl w:val="0"/>
          <w:lang w:val="en-US"/>
        </w:rPr>
        <w:t>ñí</w:t>
      </w:r>
      <w:r>
        <w:rPr>
          <w:b w:val="1"/>
          <w:bCs w:val="1"/>
          <w:sz w:val="36"/>
          <w:szCs w:val="36"/>
          <w:rtl w:val="0"/>
          <w:lang w:val="en-US"/>
        </w:rPr>
        <w:t>a</w:t>
      </w:r>
      <w:r>
        <w:rPr>
          <w:b w:val="1"/>
          <w:bCs w:val="1"/>
          <w:sz w:val="36"/>
          <w:szCs w:val="36"/>
          <w:rtl w:val="0"/>
        </w:rPr>
        <w:t>:</w:t>
      </w:r>
    </w:p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Direcci</w:t>
      </w:r>
      <w:r>
        <w:rPr>
          <w:b w:val="1"/>
          <w:bCs w:val="1"/>
          <w:sz w:val="36"/>
          <w:szCs w:val="36"/>
          <w:rtl w:val="0"/>
          <w:lang w:val="en-US"/>
        </w:rPr>
        <w:t>ó</w:t>
      </w:r>
      <w:r>
        <w:rPr>
          <w:b w:val="1"/>
          <w:bCs w:val="1"/>
          <w:sz w:val="36"/>
          <w:szCs w:val="36"/>
          <w:rtl w:val="0"/>
          <w:lang w:val="en-US"/>
        </w:rPr>
        <w:t>n</w:t>
      </w:r>
      <w:r>
        <w:rPr>
          <w:b w:val="1"/>
          <w:bCs w:val="1"/>
          <w:sz w:val="36"/>
          <w:szCs w:val="36"/>
          <w:rtl w:val="0"/>
        </w:rPr>
        <w:t>:</w:t>
      </w:r>
    </w:p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Sitio web</w:t>
      </w:r>
      <w:r>
        <w:rPr>
          <w:b w:val="1"/>
          <w:bCs w:val="1"/>
          <w:sz w:val="36"/>
          <w:szCs w:val="36"/>
          <w:rtl w:val="0"/>
        </w:rPr>
        <w:t>:</w:t>
      </w:r>
    </w:p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V</w:t>
      </w:r>
      <w:r>
        <w:rPr>
          <w:b w:val="1"/>
          <w:bCs w:val="1"/>
          <w:sz w:val="36"/>
          <w:szCs w:val="36"/>
          <w:rtl w:val="0"/>
          <w:lang w:val="en-US"/>
        </w:rPr>
        <w:t>ersi</w:t>
      </w:r>
      <w:r>
        <w:rPr>
          <w:b w:val="1"/>
          <w:bCs w:val="1"/>
          <w:sz w:val="36"/>
          <w:szCs w:val="36"/>
          <w:rtl w:val="0"/>
          <w:lang w:val="en-US"/>
        </w:rPr>
        <w:t>ó</w:t>
      </w:r>
      <w:r>
        <w:rPr>
          <w:b w:val="1"/>
          <w:bCs w:val="1"/>
          <w:sz w:val="36"/>
          <w:szCs w:val="36"/>
          <w:rtl w:val="0"/>
          <w:lang w:val="en-US"/>
        </w:rPr>
        <w:t>n</w:t>
      </w:r>
      <w:r>
        <w:rPr>
          <w:b w:val="1"/>
          <w:bCs w:val="1"/>
          <w:sz w:val="36"/>
          <w:szCs w:val="36"/>
          <w:rtl w:val="0"/>
        </w:rPr>
        <w:t>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a-DK"/>
        </w:rPr>
        <w:t>TABL</w:t>
      </w:r>
      <w:r>
        <w:rPr>
          <w:b w:val="1"/>
          <w:bCs w:val="1"/>
          <w:sz w:val="32"/>
          <w:szCs w:val="32"/>
          <w:rtl w:val="0"/>
          <w:lang w:val="en-US"/>
        </w:rPr>
        <w:t>A DE CONTENIDOS</w:t>
      </w:r>
      <w:r>
        <w:rPr>
          <w:b w:val="1"/>
          <w:bCs w:val="1"/>
          <w:sz w:val="32"/>
          <w:szCs w:val="32"/>
          <w:rtl w:val="0"/>
        </w:rPr>
        <w:t>: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Alcance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Metas y Objetivos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Funciones Comerciales Clave y Prioridades de Recuperaci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lisis de Impacto del Negocio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Prioridades a Recuperar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Equipos de Recuperaci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 de Recuperaci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Recursos para el Sistema de TI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 de Recuperaci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para la Oficina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Protocolos de Mantenimiento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Lista de Datos de Contacto de Empleados</w:t>
      </w: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Ubicaci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de los Centros de Operaciones de Emergencia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Alcance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Define el alcance y objetivo de tu Plan de Continuidad de Negocios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Metas y Objetivos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Enlista las metas y los objetivos del plan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Funciones Comerciales Clave y Prioridades de Recuperaci</w:t>
      </w:r>
      <w:r>
        <w:rPr>
          <w:sz w:val="40"/>
          <w:szCs w:val="40"/>
          <w:rtl w:val="0"/>
          <w:lang w:val="en-US"/>
        </w:rPr>
        <w:t>ó</w:t>
      </w:r>
      <w:r>
        <w:rPr>
          <w:sz w:val="40"/>
          <w:szCs w:val="40"/>
          <w:rtl w:val="0"/>
          <w:lang w:val="en-US"/>
        </w:rPr>
        <w:t>n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 informaci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enlistada en este apartado se utiliza con el prop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sito de recuperar los procesos comerciales esenciales de tu compa</w:t>
      </w:r>
      <w:r>
        <w:rPr>
          <w:sz w:val="24"/>
          <w:szCs w:val="24"/>
          <w:rtl w:val="0"/>
          <w:lang w:val="en-US"/>
        </w:rPr>
        <w:t>ñí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Esta informaci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debe incluir procesos clave, sistemas de TI y copias de seguridad de datos.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widowControl w:val="0"/>
        <w:spacing w:line="240" w:lineRule="auto"/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An</w:t>
      </w:r>
      <w:r>
        <w:rPr>
          <w:sz w:val="40"/>
          <w:szCs w:val="40"/>
          <w:rtl w:val="0"/>
          <w:lang w:val="en-US"/>
        </w:rPr>
        <w:t>á</w:t>
      </w:r>
      <w:r>
        <w:rPr>
          <w:sz w:val="40"/>
          <w:szCs w:val="40"/>
          <w:rtl w:val="0"/>
          <w:lang w:val="en-US"/>
        </w:rPr>
        <w:t>lisis de Impacto del Negocio</w:t>
      </w:r>
      <w:r>
        <w:rPr>
          <w:sz w:val="40"/>
          <w:szCs w:val="40"/>
          <w:rtl w:val="0"/>
          <w:lang w:val="en-US"/>
        </w:rPr>
        <w:t>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7"/>
        </w:numPr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Prioridades a Recuperar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Define y enlista las prioridades a recuperar de tu negocio 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widowControl w:val="0"/>
        <w:spacing w:line="240" w:lineRule="auto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Equipos de Recuperaci</w:t>
      </w:r>
      <w:r>
        <w:rPr>
          <w:sz w:val="40"/>
          <w:szCs w:val="40"/>
          <w:rtl w:val="0"/>
          <w:lang w:val="en-US"/>
        </w:rPr>
        <w:t>ó</w:t>
      </w:r>
      <w:r>
        <w:rPr>
          <w:sz w:val="40"/>
          <w:szCs w:val="40"/>
          <w:rtl w:val="0"/>
          <w:lang w:val="en-US"/>
        </w:rPr>
        <w:t>n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Define el alcance y objetivo de tu Plan de Continuidad de Negocios</w:t>
      </w:r>
      <w:r>
        <w:rPr>
          <w:sz w:val="24"/>
          <w:szCs w:val="24"/>
          <w:rtl w:val="0"/>
        </w:rPr>
        <w:t>.</w:t>
      </w:r>
    </w:p>
    <w:p>
      <w:pPr>
        <w:pStyle w:val="Body"/>
        <w:ind w:left="90" w:firstLine="0"/>
        <w:rPr>
          <w:sz w:val="24"/>
          <w:szCs w:val="24"/>
        </w:rPr>
      </w:pPr>
    </w:p>
    <w:p>
      <w:pPr>
        <w:pStyle w:val="Body"/>
        <w:ind w:left="90" w:firstLine="0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>Roles del equipo</w:t>
      </w:r>
      <w:r>
        <w:rPr>
          <w:sz w:val="28"/>
          <w:szCs w:val="28"/>
          <w:rtl w:val="0"/>
        </w:rPr>
        <w:t>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widowControl w:val="0"/>
        <w:spacing w:line="240" w:lineRule="auto"/>
      </w:pPr>
    </w:p>
    <w:p>
      <w:pPr>
        <w:pStyle w:val="Body"/>
        <w:ind w:left="90" w:firstLine="0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>Responsabilidades del equipo</w:t>
      </w:r>
      <w:r>
        <w:rPr>
          <w:sz w:val="24"/>
          <w:szCs w:val="24"/>
          <w:rtl w:val="0"/>
        </w:rPr>
        <w:t>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widowControl w:val="0"/>
        <w:spacing w:line="240" w:lineRule="auto"/>
      </w:pPr>
    </w:p>
    <w:p>
      <w:pPr>
        <w:pStyle w:val="Body"/>
        <w:ind w:left="90" w:firstLine="0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>Detalles de contacto del equipo: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Plan de Recuperaci</w:t>
      </w:r>
      <w:r>
        <w:rPr>
          <w:sz w:val="40"/>
          <w:szCs w:val="40"/>
          <w:rtl w:val="0"/>
          <w:lang w:val="en-US"/>
        </w:rPr>
        <w:t>ó</w:t>
      </w:r>
      <w:r>
        <w:rPr>
          <w:sz w:val="40"/>
          <w:szCs w:val="40"/>
          <w:rtl w:val="0"/>
          <w:lang w:val="en-US"/>
        </w:rPr>
        <w:t>n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Define las actividades necesarias para permitirle a tu negocio que contin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e. Incluye una lista de tareas de recuperaci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widowControl w:val="0"/>
        <w:spacing w:line="240" w:lineRule="auto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Recursos para el Sistema de TI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Enlista los sistemas y recursos de TI necesarios para tu Plan de Recuperaci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Plan de Recuperaci</w:t>
      </w:r>
      <w:r>
        <w:rPr>
          <w:sz w:val="40"/>
          <w:szCs w:val="40"/>
          <w:rtl w:val="0"/>
          <w:lang w:val="en-US"/>
        </w:rPr>
        <w:t>ó</w:t>
      </w:r>
      <w:r>
        <w:rPr>
          <w:sz w:val="40"/>
          <w:szCs w:val="40"/>
          <w:rtl w:val="0"/>
          <w:lang w:val="en-US"/>
        </w:rPr>
        <w:t>n para la Oficina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Define el plan de recuperaci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para la oficina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widowControl w:val="0"/>
        <w:spacing w:line="240" w:lineRule="auto"/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Protocolos de Mantenimiento</w:t>
      </w:r>
      <w:r>
        <w:rPr>
          <w:sz w:val="40"/>
          <w:szCs w:val="40"/>
          <w:rtl w:val="0"/>
          <w:lang w:val="en-US"/>
        </w:rPr>
        <w:t>:</w:t>
      </w:r>
    </w:p>
    <w:p>
      <w:pPr>
        <w:pStyle w:val="Body"/>
        <w:ind w:left="9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Enlista los protocolos para lograr el mantenimiento de tu Plan de Continuidad Comercial</w:t>
      </w:r>
      <w:r>
        <w:rPr>
          <w:sz w:val="24"/>
          <w:szCs w:val="24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Lista de Datos de Contacto de Empleados</w:t>
      </w:r>
      <w:r>
        <w:rPr>
          <w:sz w:val="40"/>
          <w:szCs w:val="40"/>
          <w:rtl w:val="0"/>
          <w:lang w:val="en-US"/>
        </w:rPr>
        <w:t>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Ubicaci</w:t>
      </w:r>
      <w:r>
        <w:rPr>
          <w:sz w:val="40"/>
          <w:szCs w:val="40"/>
          <w:rtl w:val="0"/>
          <w:lang w:val="en-US"/>
        </w:rPr>
        <w:t>ó</w:t>
      </w:r>
      <w:r>
        <w:rPr>
          <w:sz w:val="40"/>
          <w:szCs w:val="40"/>
          <w:rtl w:val="0"/>
          <w:lang w:val="en-US"/>
        </w:rPr>
        <w:t>n de los Centros de Operaciones de Emergencia</w:t>
      </w:r>
      <w:r>
        <w:rPr>
          <w:sz w:val="40"/>
          <w:szCs w:val="40"/>
          <w:rtl w:val="0"/>
          <w:lang w:val="en-US"/>
        </w:rPr>
        <w:t>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ov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Arial" w:hAnsi="Arial"/>
        <w:shd w:val="clear" w:color="auto" w:fill="ffffff"/>
        <w:rtl w:val="0"/>
        <w:lang w:val="en-US"/>
      </w:rPr>
      <w:t xml:space="preserve">La Plantilla de Plan de Continuidad de Negocios fue hecha por </w:t>
    </w:r>
    <w:r>
      <w:rPr>
        <w:rStyle w:val="Hyperlink.0"/>
        <w:rFonts w:ascii="Arial" w:cs="Arial" w:hAnsi="Arial" w:eastAsia="Arial"/>
      </w:rPr>
      <w:fldChar w:fldCharType="begin" w:fldLock="0"/>
    </w:r>
    <w:r>
      <w:rPr>
        <w:rStyle w:val="Hyperlink.0"/>
        <w:rFonts w:ascii="Arial" w:cs="Arial" w:hAnsi="Arial" w:eastAsia="Arial"/>
      </w:rPr>
      <w:instrText xml:space="preserve"> HYPERLINK "https://www.betterteam.com/"</w:instrText>
    </w:r>
    <w:r>
      <w:rPr>
        <w:rStyle w:val="Hyperlink.0"/>
        <w:rFonts w:ascii="Arial" w:cs="Arial" w:hAnsi="Arial" w:eastAsia="Arial"/>
      </w:rPr>
      <w:fldChar w:fldCharType="separate" w:fldLock="0"/>
    </w:r>
    <w:r>
      <w:rPr>
        <w:rStyle w:val="Hyperlink.0"/>
        <w:rFonts w:ascii="Arial" w:hAnsi="Arial"/>
        <w:rtl w:val="0"/>
        <w:lang w:val="en-US"/>
      </w:rPr>
      <w:t>Betterteam</w:t>
    </w:r>
    <w:r>
      <w:rPr>
        <w:rFonts w:ascii="Arial" w:cs="Arial" w:hAnsi="Arial" w:eastAsia="Arial"/>
      </w:rPr>
      <w:fldChar w:fldCharType="end" w:fldLock="0"/>
    </w:r>
    <w:r>
      <w:rPr>
        <w:rFonts w:ascii="Arial" w:hAnsi="Arial"/>
        <w:shd w:val="clear" w:color="auto" w:fill="ffffff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5588000</wp:posOffset>
          </wp:positionH>
          <wp:positionV relativeFrom="page">
            <wp:posOffset>10001885</wp:posOffset>
          </wp:positionV>
          <wp:extent cx="317500" cy="25400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8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05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1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7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38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6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Outline>
        <w14:noFill/>
      </w14:textOutline>
      <w14:textFill>
        <w14:solidFill>
          <w14:srgbClr w14:val="2F5496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